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E403D">
      <w:pPr>
        <w:spacing w:line="240" w:lineRule="auto"/>
        <w:jc w:val="right"/>
        <w:rPr>
          <w:rFonts w:ascii="Sakkal Majalla" w:hAnsi="Sakkal Majalla" w:eastAsia="Calibri" w:cs="Simplified Arabic"/>
          <w:b/>
          <w:bCs/>
          <w:sz w:val="32"/>
          <w:szCs w:val="32"/>
        </w:rPr>
      </w:pPr>
      <w:r>
        <w:rPr>
          <w:rFonts w:ascii="Sakkal Majalla" w:hAnsi="Sakkal Majalla" w:eastAsia="Calibri" w:cs="Simplified Arabic"/>
          <w:b/>
          <w:bCs/>
          <w:sz w:val="32"/>
          <w:szCs w:val="32"/>
          <w:rtl/>
        </w:rPr>
        <w:t>جامعة عباس لغرور خشلة</w:t>
      </w:r>
    </w:p>
    <w:p w14:paraId="77CF902C">
      <w:pPr>
        <w:spacing w:line="240" w:lineRule="auto"/>
        <w:jc w:val="right"/>
        <w:rPr>
          <w:rFonts w:ascii="Sakkal Majalla" w:hAnsi="Sakkal Majalla" w:eastAsia="Calibri" w:cs="Simplified Arabic"/>
          <w:b/>
          <w:bCs/>
          <w:sz w:val="32"/>
          <w:szCs w:val="32"/>
          <w:rtl/>
        </w:rPr>
      </w:pPr>
      <w:r>
        <w:rPr>
          <w:rFonts w:ascii="Sakkal Majalla" w:hAnsi="Sakkal Majalla" w:eastAsia="Calibri" w:cs="Simplified Arabic"/>
          <w:b/>
          <w:bCs/>
          <w:sz w:val="32"/>
          <w:szCs w:val="32"/>
          <w:rtl/>
        </w:rPr>
        <w:t>كلية الحقوق والعلوم السياسية</w:t>
      </w:r>
    </w:p>
    <w:p w14:paraId="330300DD">
      <w:pPr>
        <w:spacing w:line="240" w:lineRule="auto"/>
        <w:jc w:val="right"/>
        <w:rPr>
          <w:rFonts w:ascii="Sakkal Majalla" w:hAnsi="Sakkal Majalla" w:eastAsia="Calibri" w:cs="Simplified Arabic"/>
          <w:b/>
          <w:bCs/>
          <w:sz w:val="32"/>
          <w:szCs w:val="32"/>
          <w:rtl/>
        </w:rPr>
      </w:pPr>
      <w:r>
        <w:rPr>
          <w:rFonts w:ascii="Sakkal Majalla" w:hAnsi="Sakkal Majalla" w:eastAsia="Calibri" w:cs="Simplified Arabic"/>
          <w:b/>
          <w:bCs/>
          <w:sz w:val="32"/>
          <w:szCs w:val="32"/>
          <w:rtl/>
        </w:rPr>
        <w:t>قسم الحقوق</w:t>
      </w:r>
    </w:p>
    <w:p w14:paraId="46D16A8B">
      <w:pPr>
        <w:bidi/>
        <w:spacing w:line="240" w:lineRule="auto"/>
        <w:jc w:val="center"/>
        <w:rPr>
          <w:rFonts w:hint="cs" w:ascii="Sakkal Majalla" w:hAnsi="Sakkal Majalla" w:eastAsia="Calibri" w:cs="Simplified Arabic"/>
          <w:b/>
          <w:bCs/>
          <w:color w:val="FF0000"/>
          <w:sz w:val="32"/>
          <w:szCs w:val="32"/>
          <w:rtl/>
          <w:lang w:val="en-US" w:bidi="ar-DZ"/>
        </w:rPr>
      </w:pPr>
      <w:r>
        <w:rPr>
          <w:rFonts w:hint="cs" w:ascii="Sakkal Majalla" w:hAnsi="Sakkal Majalla" w:eastAsia="Calibri" w:cs="Simplified Arabic"/>
          <w:b/>
          <w:bCs/>
          <w:color w:val="FF0000"/>
          <w:sz w:val="32"/>
          <w:szCs w:val="32"/>
          <w:rtl/>
          <w:lang w:bidi="ar-DZ"/>
        </w:rPr>
        <w:t>الاجابة</w:t>
      </w:r>
      <w:r>
        <w:rPr>
          <w:rFonts w:hint="cs" w:ascii="Sakkal Majalla" w:hAnsi="Sakkal Majalla" w:eastAsia="Calibri" w:cs="Simplified Arabic"/>
          <w:b/>
          <w:bCs/>
          <w:color w:val="FF0000"/>
          <w:sz w:val="32"/>
          <w:szCs w:val="32"/>
          <w:rtl/>
          <w:lang w:val="en-US" w:bidi="ar-DZ"/>
        </w:rPr>
        <w:t xml:space="preserve"> النموذجية في مقياس قانون العمل </w:t>
      </w:r>
    </w:p>
    <w:p w14:paraId="2838DB39">
      <w:pPr>
        <w:bidi/>
        <w:spacing w:line="240" w:lineRule="auto"/>
        <w:jc w:val="center"/>
        <w:rPr>
          <w:rFonts w:hint="default" w:ascii="Sakkal Majalla" w:hAnsi="Sakkal Majalla" w:eastAsia="Calibri" w:cs="Simplified Arabic"/>
          <w:b/>
          <w:bCs/>
          <w:color w:val="FF0000"/>
          <w:sz w:val="32"/>
          <w:szCs w:val="32"/>
          <w:rtl/>
          <w:lang w:val="en-US" w:bidi="ar-DZ"/>
        </w:rPr>
      </w:pPr>
      <w:r>
        <w:rPr>
          <w:rFonts w:hint="cs" w:ascii="Sakkal Majalla" w:hAnsi="Sakkal Majalla" w:eastAsia="Calibri" w:cs="Simplified Arabic"/>
          <w:b/>
          <w:bCs/>
          <w:color w:val="FF0000"/>
          <w:sz w:val="32"/>
          <w:szCs w:val="32"/>
          <w:rtl/>
          <w:lang w:val="en-US" w:bidi="ar-DZ"/>
        </w:rPr>
        <w:t>سنة ثانية ليسانس (المجوعة أ)</w:t>
      </w:r>
    </w:p>
    <w:p w14:paraId="413C8CDA">
      <w:pPr>
        <w:bidi/>
        <w:spacing w:line="240" w:lineRule="auto"/>
        <w:jc w:val="both"/>
        <w:rPr>
          <w:rFonts w:ascii="Sakkal Majalla" w:hAnsi="Sakkal Majalla" w:eastAsia="Calibri" w:cs="Simplified Arabic"/>
          <w:b/>
          <w:bCs/>
          <w:rtl/>
        </w:rPr>
      </w:pPr>
      <w:r>
        <w:rPr>
          <w:rFonts w:ascii="Sakkal Majalla" w:hAnsi="Sakkal Majalla" w:eastAsia="Calibri" w:cs="Simplified Arabic"/>
          <w:rtl/>
        </w:rPr>
        <w:t xml:space="preserve">أجب باختصار مفيد عما يلي:  </w:t>
      </w:r>
      <w:r>
        <w:rPr>
          <w:rFonts w:ascii="Sakkal Majalla" w:hAnsi="Sakkal Majalla" w:eastAsia="Calibri" w:cs="Simplified Arabic"/>
          <w:b/>
          <w:bCs/>
          <w:rtl/>
        </w:rPr>
        <w:t xml:space="preserve">     </w:t>
      </w:r>
    </w:p>
    <w:p w14:paraId="1ECD2A61">
      <w:pPr>
        <w:bidi/>
        <w:spacing w:line="240" w:lineRule="auto"/>
        <w:jc w:val="both"/>
        <w:rPr>
          <w:rFonts w:ascii="Sakkal Majalla" w:hAnsi="Sakkal Majalla" w:eastAsia="Calibri" w:cs="Simplified Arabic"/>
          <w:b/>
          <w:bCs/>
          <w:rtl/>
        </w:rPr>
      </w:pPr>
      <w:r>
        <w:rPr>
          <w:rFonts w:ascii="Sakkal Majalla" w:hAnsi="Sakkal Majalla" w:eastAsia="Calibri" w:cs="Simplified Arabic"/>
          <w:b/>
          <w:bCs/>
          <w:rtl/>
        </w:rPr>
        <w:t xml:space="preserve"> السؤال الأول:                                                                                      </w:t>
      </w:r>
      <w:r>
        <w:rPr>
          <w:rFonts w:hint="cs" w:ascii="Sakkal Majalla" w:hAnsi="Sakkal Majalla" w:eastAsia="Calibri" w:cs="Simplified Arabic"/>
          <w:b/>
          <w:bCs/>
          <w:rtl/>
        </w:rPr>
        <w:t xml:space="preserve">              </w:t>
      </w:r>
      <w:r>
        <w:rPr>
          <w:rFonts w:ascii="Sakkal Majalla" w:hAnsi="Sakkal Majalla" w:eastAsia="Calibri" w:cs="Simplified Arabic"/>
          <w:b/>
          <w:bCs/>
          <w:rtl/>
        </w:rPr>
        <w:t xml:space="preserve">   05 نقاط</w:t>
      </w:r>
    </w:p>
    <w:p w14:paraId="4EDFA2CD">
      <w:pPr>
        <w:bidi/>
        <w:spacing w:line="240" w:lineRule="auto"/>
        <w:jc w:val="both"/>
        <w:rPr>
          <w:rFonts w:hint="cs" w:ascii="Sakkal Majalla" w:hAnsi="Sakkal Majalla" w:eastAsia="Calibri" w:cs="Simplified Arabic"/>
          <w:b w:val="0"/>
          <w:bCs w:val="0"/>
          <w:rtl/>
          <w:lang w:val="en-US" w:bidi="ar-DZ"/>
        </w:rPr>
      </w:pPr>
      <w:r>
        <w:rPr>
          <w:rFonts w:hint="cs" w:ascii="Sakkal Majalla" w:hAnsi="Sakkal Majalla" w:eastAsia="Calibri" w:cs="Simplified Arabic"/>
          <w:b w:val="0"/>
          <w:bCs w:val="0"/>
          <w:rtl/>
          <w:lang w:bidi="ar-DZ"/>
        </w:rPr>
        <w:t>قارن</w:t>
      </w:r>
      <w:r>
        <w:rPr>
          <w:rFonts w:hint="cs" w:ascii="Sakkal Majalla" w:hAnsi="Sakkal Majalla" w:eastAsia="Calibri" w:cs="Simplified Arabic"/>
          <w:b w:val="0"/>
          <w:bCs w:val="0"/>
          <w:rtl/>
          <w:lang w:val="en-US" w:bidi="ar-DZ"/>
        </w:rPr>
        <w:t xml:space="preserve"> بين النظام الرأسمالي والنظام الاشتراكي من حيث نظرة كل منهما لقانون العمل، موضحا مدى تدخل الدولة في تنظيم العلاقة بين العامل وصاحب العمل في كلا التظامين؟</w:t>
      </w:r>
    </w:p>
    <w:p w14:paraId="7FCC8319">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الجواب :</w:t>
      </w:r>
    </w:p>
    <w:p w14:paraId="4F8D2092">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 xml:space="preserve">   يختلف النظامان الراسمالي والاشتراكي من حيث نظرتهما لقانون العمل؛ حيث يعتبر الرأسماليون عقد العمل يخضع لمبدأ حرية التعاقد على أساس أن العامل يبيع جهده مقابل أجر، وعليه فإن تدخل الدولة يكون محدودا، إذ تكتفي بوضع قوانين عامة لحماية الطرف الضعيف، وتترك للطرفين ( العامل وصاحب العمل) حرية التعاقد إعمالا لمبدأ سلطان الإرادة.</w:t>
      </w:r>
    </w:p>
    <w:p w14:paraId="2902F2AE">
      <w:pPr>
        <w:bidi/>
        <w:spacing w:line="240" w:lineRule="auto"/>
        <w:jc w:val="both"/>
        <w:rPr>
          <w:rFonts w:hint="default"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 xml:space="preserve">   أما بالنسبة للنظام الاشتراكي، فإن العمل هو حق أساسي وواجب اجتماعي، وليس مجرد سلعة، لذا فمن واجب الدولة أن تتدخل لحماية العمال من استغلال الطبقة البرجوازية عبر ملكيتها لكل وسائل الإنتاج، وإدارة مختلف علاقات العمل.</w:t>
      </w:r>
    </w:p>
    <w:p w14:paraId="59EB8653">
      <w:pPr>
        <w:bidi/>
        <w:spacing w:line="240" w:lineRule="auto"/>
        <w:jc w:val="both"/>
        <w:rPr>
          <w:rFonts w:hint="default" w:ascii="Sakkal Majalla" w:hAnsi="Sakkal Majalla" w:eastAsia="Calibri" w:cs="Simplified Arabic"/>
          <w:b/>
          <w:bCs/>
          <w:color w:val="FF0000"/>
          <w:rtl/>
          <w:lang w:val="en-US" w:bidi="ar-DZ"/>
        </w:rPr>
      </w:pPr>
    </w:p>
    <w:p w14:paraId="2244119A">
      <w:pPr>
        <w:bidi/>
        <w:spacing w:line="240" w:lineRule="auto"/>
        <w:jc w:val="both"/>
        <w:rPr>
          <w:rFonts w:ascii="Sakkal Majalla" w:hAnsi="Sakkal Majalla" w:eastAsia="Calibri" w:cs="Simplified Arabic"/>
          <w:b/>
          <w:bCs/>
          <w:rtl/>
        </w:rPr>
      </w:pPr>
      <w:r>
        <w:rPr>
          <w:rFonts w:ascii="Sakkal Majalla" w:hAnsi="Sakkal Majalla" w:eastAsia="Calibri" w:cs="Simplified Arabic"/>
          <w:b/>
          <w:bCs/>
          <w:rtl/>
        </w:rPr>
        <w:t xml:space="preserve">السؤال الثاني:                                                                                       </w:t>
      </w:r>
      <w:r>
        <w:rPr>
          <w:rFonts w:hint="cs" w:ascii="Sakkal Majalla" w:hAnsi="Sakkal Majalla" w:eastAsia="Calibri" w:cs="Simplified Arabic"/>
          <w:b/>
          <w:bCs/>
          <w:rtl/>
        </w:rPr>
        <w:t xml:space="preserve">               </w:t>
      </w:r>
      <w:r>
        <w:rPr>
          <w:rFonts w:ascii="Sakkal Majalla" w:hAnsi="Sakkal Majalla" w:eastAsia="Calibri" w:cs="Simplified Arabic"/>
          <w:b/>
          <w:bCs/>
          <w:rtl/>
        </w:rPr>
        <w:t xml:space="preserve">  05 نقاط</w:t>
      </w:r>
      <w:r>
        <w:rPr>
          <w:rFonts w:ascii="Sakkal Majalla" w:hAnsi="Sakkal Majalla" w:eastAsia="Calibri" w:cs="Simplified Arabic"/>
          <w:rtl/>
        </w:rPr>
        <w:t xml:space="preserve">     </w:t>
      </w:r>
      <w:r>
        <w:rPr>
          <w:rFonts w:ascii="Sakkal Majalla" w:hAnsi="Sakkal Majalla" w:eastAsia="Calibri" w:cs="Simplified Arabic"/>
          <w:b/>
          <w:bCs/>
          <w:rtl/>
        </w:rPr>
        <w:t xml:space="preserve">          </w:t>
      </w:r>
    </w:p>
    <w:p w14:paraId="089BC7F2">
      <w:pPr>
        <w:bidi/>
        <w:spacing w:line="240" w:lineRule="auto"/>
        <w:jc w:val="both"/>
        <w:rPr>
          <w:rFonts w:ascii="Sakkal Majalla" w:hAnsi="Sakkal Majalla" w:eastAsia="Calibri" w:cs="Simplified Arabic"/>
          <w:rtl/>
        </w:rPr>
      </w:pPr>
      <w:r>
        <w:rPr>
          <w:rFonts w:hint="cs" w:ascii="Sakkal Majalla" w:hAnsi="Sakkal Majalla" w:eastAsia="Calibri" w:cs="Simplified Arabic"/>
          <w:rtl/>
          <w:lang w:bidi="ar-DZ"/>
        </w:rPr>
        <w:t>يتميز</w:t>
      </w:r>
      <w:r>
        <w:rPr>
          <w:rFonts w:hint="cs" w:ascii="Sakkal Majalla" w:hAnsi="Sakkal Majalla" w:eastAsia="Calibri" w:cs="Simplified Arabic"/>
          <w:rtl/>
          <w:lang w:val="en-US" w:bidi="ar-DZ"/>
        </w:rPr>
        <w:t xml:space="preserve"> قانون العمل بوجود مصادر مهنية (ذاتية) تنبع من الوسط المهني، أذكر أهم مصدرين منها دون شرح</w:t>
      </w:r>
      <w:r>
        <w:rPr>
          <w:rFonts w:ascii="Sakkal Majalla" w:hAnsi="Sakkal Majalla" w:eastAsia="Calibri" w:cs="Simplified Arabic"/>
          <w:rtl/>
        </w:rPr>
        <w:t xml:space="preserve">؟ </w:t>
      </w:r>
    </w:p>
    <w:p w14:paraId="3749C80C">
      <w:pPr>
        <w:bidi/>
        <w:spacing w:line="240" w:lineRule="auto"/>
        <w:jc w:val="both"/>
        <w:rPr>
          <w:rFonts w:hint="default"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bidi="ar-DZ"/>
        </w:rPr>
        <w:t>الجواب</w:t>
      </w:r>
      <w:r>
        <w:rPr>
          <w:rFonts w:hint="cs" w:ascii="Sakkal Majalla" w:hAnsi="Sakkal Majalla" w:eastAsia="Calibri" w:cs="Simplified Arabic"/>
          <w:b/>
          <w:bCs/>
          <w:color w:val="FF0000"/>
          <w:rtl/>
          <w:lang w:val="en-US" w:bidi="ar-DZ"/>
        </w:rPr>
        <w:t>: ( يكفي ذكر مصدرين فقط للحصول على العلامة الكاملة).</w:t>
      </w:r>
    </w:p>
    <w:p w14:paraId="5D21DEBE">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 العرف والعادات المهنية.</w:t>
      </w:r>
    </w:p>
    <w:p w14:paraId="718EB937">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 الاتفاقيات الجماعية للعمل.</w:t>
      </w:r>
    </w:p>
    <w:p w14:paraId="7A3A258E">
      <w:pPr>
        <w:bidi/>
        <w:spacing w:line="240" w:lineRule="auto"/>
        <w:jc w:val="both"/>
        <w:rPr>
          <w:rFonts w:hint="default"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 النظم الداخلية وتعليمات العمل .</w:t>
      </w:r>
    </w:p>
    <w:p w14:paraId="2E28D466">
      <w:pPr>
        <w:bidi/>
        <w:spacing w:line="240" w:lineRule="auto"/>
        <w:jc w:val="both"/>
        <w:rPr>
          <w:rFonts w:ascii="Sakkal Majalla" w:hAnsi="Sakkal Majalla" w:eastAsia="Calibri" w:cs="Simplified Arabic"/>
          <w:b/>
          <w:bCs/>
          <w:rtl/>
        </w:rPr>
      </w:pPr>
      <w:r>
        <w:rPr>
          <w:rFonts w:ascii="Sakkal Majalla" w:hAnsi="Sakkal Majalla" w:eastAsia="Calibri" w:cs="Simplified Arabic"/>
          <w:b/>
          <w:bCs/>
          <w:rtl/>
        </w:rPr>
        <w:t xml:space="preserve">السؤال الثالث:                                                                                      </w:t>
      </w:r>
      <w:r>
        <w:rPr>
          <w:rFonts w:ascii="Sakkal Majalla" w:hAnsi="Sakkal Majalla" w:eastAsia="Calibri" w:cs="Simplified Arabic"/>
          <w:b/>
          <w:bCs/>
        </w:rPr>
        <w:t xml:space="preserve">                             </w:t>
      </w:r>
      <w:r>
        <w:rPr>
          <w:rFonts w:ascii="Sakkal Majalla" w:hAnsi="Sakkal Majalla" w:eastAsia="Calibri" w:cs="Simplified Arabic"/>
          <w:b/>
          <w:bCs/>
          <w:rtl/>
        </w:rPr>
        <w:t xml:space="preserve">   05 نقاط</w:t>
      </w:r>
    </w:p>
    <w:p w14:paraId="301EEEF2">
      <w:pPr>
        <w:bidi/>
        <w:spacing w:line="240" w:lineRule="auto"/>
        <w:jc w:val="both"/>
        <w:rPr>
          <w:rFonts w:ascii="Sakkal Majalla" w:hAnsi="Sakkal Majalla" w:eastAsia="Calibri" w:cs="Simplified Arabic"/>
          <w:rtl/>
        </w:rPr>
      </w:pPr>
      <w:r>
        <w:rPr>
          <w:rFonts w:hint="cs" w:ascii="Sakkal Majalla" w:hAnsi="Sakkal Majalla" w:eastAsia="Calibri" w:cs="Simplified Arabic"/>
          <w:rtl/>
          <w:lang w:bidi="ar-DZ"/>
        </w:rPr>
        <w:t>يتمتع</w:t>
      </w:r>
      <w:r>
        <w:rPr>
          <w:rFonts w:hint="cs" w:ascii="Sakkal Majalla" w:hAnsi="Sakkal Majalla" w:eastAsia="Calibri" w:cs="Simplified Arabic"/>
          <w:rtl/>
          <w:lang w:val="en-US" w:bidi="ar-DZ"/>
        </w:rPr>
        <w:t xml:space="preserve"> الأجر بحماية قانونية خاصة في التشريع الجزائري باعتباره المصدر الرئيسي لرزق العامل، وضح مظاهر هذه الحماية باختصار</w:t>
      </w:r>
      <w:r>
        <w:rPr>
          <w:rFonts w:ascii="Sakkal Majalla" w:hAnsi="Sakkal Majalla" w:eastAsia="Calibri" w:cs="Simplified Arabic"/>
          <w:rtl/>
        </w:rPr>
        <w:t>؟</w:t>
      </w:r>
    </w:p>
    <w:p w14:paraId="03D06FE6">
      <w:pPr>
        <w:bidi/>
        <w:spacing w:line="240" w:lineRule="auto"/>
        <w:jc w:val="both"/>
        <w:rPr>
          <w:rFonts w:hint="cs" w:ascii="Sakkal Majalla" w:hAnsi="Sakkal Majalla" w:eastAsia="Calibri" w:cs="Simplified Arabic"/>
          <w:color w:val="FF0000"/>
          <w:rtl/>
          <w:lang w:val="en-US" w:bidi="ar-DZ"/>
        </w:rPr>
      </w:pPr>
      <w:r>
        <w:rPr>
          <w:rFonts w:hint="cs" w:ascii="Sakkal Majalla" w:hAnsi="Sakkal Majalla" w:eastAsia="Calibri" w:cs="Simplified Arabic"/>
          <w:b/>
          <w:bCs/>
          <w:color w:val="FF0000"/>
          <w:rtl/>
          <w:lang w:bidi="ar-DZ"/>
        </w:rPr>
        <w:t>الجواب</w:t>
      </w:r>
      <w:r>
        <w:rPr>
          <w:rFonts w:hint="cs" w:ascii="Sakkal Majalla" w:hAnsi="Sakkal Majalla" w:eastAsia="Calibri" w:cs="Simplified Arabic"/>
          <w:color w:val="FF0000"/>
          <w:rtl/>
          <w:lang w:val="en-US" w:bidi="ar-DZ"/>
        </w:rPr>
        <w:t>: ( يكفي ذكر مظهرين مع الشرح للحصول على العلامة الكاملة)</w:t>
      </w:r>
    </w:p>
    <w:p w14:paraId="4FAA3F69">
      <w:pPr>
        <w:bidi/>
        <w:spacing w:line="240" w:lineRule="auto"/>
        <w:jc w:val="both"/>
        <w:rPr>
          <w:rFonts w:hint="default" w:ascii="Sakkal Majalla" w:hAnsi="Sakkal Majalla" w:eastAsia="Calibri" w:cs="Simplified Arabic"/>
          <w:color w:val="FF0000"/>
          <w:rtl/>
          <w:lang w:val="en-US" w:bidi="ar-DZ"/>
        </w:rPr>
      </w:pPr>
      <w:r>
        <w:rPr>
          <w:rFonts w:hint="cs" w:ascii="Sakkal Majalla" w:hAnsi="Sakkal Majalla" w:eastAsia="Calibri" w:cs="Simplified Arabic"/>
          <w:color w:val="FF0000"/>
          <w:rtl/>
          <w:lang w:val="en-US" w:bidi="ar-DZ"/>
        </w:rPr>
        <w:t>- دفع الأجر بانتظام: هو التزام قانوني وجوهري يقع على عاتق صاحب العمل، ويعني أداء مستحقات العامل المالية في مواعيد محددة وثابتة دون تأخير أو مماطلة.</w:t>
      </w:r>
    </w:p>
    <w:p w14:paraId="7C550381">
      <w:pPr>
        <w:bidi/>
        <w:spacing w:line="240" w:lineRule="auto"/>
        <w:jc w:val="both"/>
        <w:rPr>
          <w:rFonts w:hint="default" w:ascii="Sakkal Majalla" w:hAnsi="Sakkal Majalla" w:eastAsia="Calibri" w:cs="Simplified Arabic"/>
          <w:color w:val="FF0000"/>
          <w:rtl/>
          <w:lang w:val="en-US" w:bidi="ar-DZ"/>
        </w:rPr>
      </w:pPr>
      <w:r>
        <w:rPr>
          <w:rFonts w:hint="cs" w:ascii="Sakkal Majalla" w:hAnsi="Sakkal Majalla" w:eastAsia="Calibri" w:cs="Simplified Arabic"/>
          <w:color w:val="FF0000"/>
          <w:rtl/>
          <w:lang w:val="en-US" w:bidi="ar-DZ"/>
        </w:rPr>
        <w:t>- مبدأ امتياز الاجور عن بقية الديون الأخرى: بموجب هذا المبدأ، يمنح الأجر وتوابعه مرتبة الصدارة والأولوية في السداد قبل أي ديون أخرى مترتبة في ذمة صاحب العمل.</w:t>
      </w:r>
    </w:p>
    <w:p w14:paraId="41692849">
      <w:pPr>
        <w:bidi/>
        <w:spacing w:line="240" w:lineRule="auto"/>
        <w:jc w:val="both"/>
        <w:rPr>
          <w:rFonts w:hint="default" w:ascii="Sakkal Majalla" w:hAnsi="Sakkal Majalla" w:eastAsia="Calibri" w:cs="Simplified Arabic"/>
          <w:color w:val="FF0000"/>
          <w:rtl/>
          <w:lang w:val="en-US" w:bidi="ar-DZ"/>
        </w:rPr>
      </w:pPr>
      <w:r>
        <w:rPr>
          <w:rFonts w:hint="cs" w:ascii="Sakkal Majalla" w:hAnsi="Sakkal Majalla" w:eastAsia="Calibri" w:cs="Simplified Arabic"/>
          <w:color w:val="FF0000"/>
          <w:rtl/>
          <w:lang w:val="en-US" w:bidi="ar-DZ"/>
        </w:rPr>
        <w:t>- مبدأ عدم قابلية الحجز على الكتلة الأجرية إلا في حدود نسب معينة: إذ لا يجوز للدائنين الحجز على كامل الراتب الشهري للعامل لاستيفاء ديونهم، بل يقتصر الحجز على جزء محدد قانونا، ويبقى الجزء الأكبر منه محميا وموجها حصرا لمعيشة العامل واسرته.</w:t>
      </w:r>
    </w:p>
    <w:p w14:paraId="6D82EA84">
      <w:pPr>
        <w:bidi/>
        <w:spacing w:line="240" w:lineRule="auto"/>
        <w:jc w:val="both"/>
        <w:rPr>
          <w:rFonts w:hint="default" w:ascii="Sakkal Majalla" w:hAnsi="Sakkal Majalla" w:eastAsia="Calibri" w:cs="Simplified Arabic"/>
          <w:color w:val="FF0000"/>
          <w:rtl/>
          <w:lang w:val="en-US" w:bidi="ar-DZ"/>
        </w:rPr>
      </w:pPr>
      <w:r>
        <w:rPr>
          <w:rFonts w:hint="cs" w:ascii="Sakkal Majalla" w:hAnsi="Sakkal Majalla" w:eastAsia="Calibri" w:cs="Simplified Arabic"/>
          <w:color w:val="FF0000"/>
          <w:rtl/>
          <w:lang w:val="en-US" w:bidi="ar-DZ"/>
        </w:rPr>
        <w:t>- مبدأ بطلان التنازل عن الأجر: ويقصد به عدم الاعتداد باي تنازل يصدر من العامل عن أجره أو عن جزء منه لصالح صاحب العمل، واعتبار هذا التنازل باطلا بطلانا مطلقا ولا ينتج أي أثر قانوني.</w:t>
      </w:r>
    </w:p>
    <w:p w14:paraId="03BCFC12">
      <w:pPr>
        <w:bidi/>
        <w:spacing w:line="240" w:lineRule="auto"/>
        <w:jc w:val="both"/>
        <w:rPr>
          <w:rFonts w:ascii="Sakkal Majalla" w:hAnsi="Sakkal Majalla" w:eastAsia="Calibri" w:cs="Simplified Arabic"/>
          <w:b/>
          <w:bCs/>
          <w:rtl/>
        </w:rPr>
      </w:pPr>
      <w:r>
        <w:rPr>
          <w:rFonts w:ascii="Sakkal Majalla" w:hAnsi="Sakkal Majalla" w:eastAsia="Calibri" w:cs="Simplified Arabic"/>
          <w:b/>
          <w:bCs/>
          <w:rtl/>
        </w:rPr>
        <w:t xml:space="preserve">السؤال الرابع:                                                                               </w:t>
      </w:r>
      <w:r>
        <w:rPr>
          <w:rFonts w:ascii="Sakkal Majalla" w:hAnsi="Sakkal Majalla" w:eastAsia="Calibri" w:cs="Simplified Arabic"/>
          <w:b/>
          <w:bCs/>
        </w:rPr>
        <w:t xml:space="preserve">                             </w:t>
      </w:r>
      <w:r>
        <w:rPr>
          <w:rFonts w:ascii="Sakkal Majalla" w:hAnsi="Sakkal Majalla" w:eastAsia="Calibri" w:cs="Simplified Arabic"/>
          <w:b/>
          <w:bCs/>
          <w:rtl/>
        </w:rPr>
        <w:t xml:space="preserve">          05 نقاط</w:t>
      </w:r>
    </w:p>
    <w:p w14:paraId="22EE089C">
      <w:pPr>
        <w:bidi/>
        <w:spacing w:line="240" w:lineRule="auto"/>
        <w:jc w:val="both"/>
        <w:rPr>
          <w:rFonts w:hint="cs" w:ascii="Sakkal Majalla" w:hAnsi="Sakkal Majalla" w:eastAsia="Calibri" w:cs="Simplified Arabic"/>
          <w:rtl/>
        </w:rPr>
      </w:pPr>
      <w:r>
        <w:rPr>
          <w:rFonts w:hint="cs" w:ascii="Sakkal Majalla" w:hAnsi="Sakkal Majalla" w:eastAsia="Calibri" w:cs="Simplified Arabic"/>
          <w:rtl/>
          <w:lang w:bidi="ar-DZ"/>
        </w:rPr>
        <w:t>تؤدي</w:t>
      </w:r>
      <w:r>
        <w:rPr>
          <w:rFonts w:hint="cs" w:ascii="Sakkal Majalla" w:hAnsi="Sakkal Majalla" w:eastAsia="Calibri" w:cs="Simplified Arabic"/>
          <w:rtl/>
          <w:lang w:val="en-US" w:bidi="ar-DZ"/>
        </w:rPr>
        <w:t xml:space="preserve"> الاتفاقيات الجماعية للعمل دورا حيويا يتجاوز مجرد تنظيم العلاقة الشغلية، بين باختصار أهميتها على المستويات القانونية، الاقتصادية و الاجتماعية</w:t>
      </w:r>
      <w:r>
        <w:rPr>
          <w:rFonts w:hint="cs" w:ascii="Sakkal Majalla" w:hAnsi="Sakkal Majalla" w:eastAsia="Calibri" w:cs="Simplified Arabic"/>
          <w:rtl/>
        </w:rPr>
        <w:t>؟</w:t>
      </w:r>
    </w:p>
    <w:p w14:paraId="0C10CE24">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bidi="ar-DZ"/>
        </w:rPr>
        <w:t>الجواب</w:t>
      </w:r>
      <w:r>
        <w:rPr>
          <w:rFonts w:hint="cs" w:ascii="Sakkal Majalla" w:hAnsi="Sakkal Majalla" w:eastAsia="Calibri" w:cs="Simplified Arabic"/>
          <w:b/>
          <w:bCs/>
          <w:color w:val="FF0000"/>
          <w:rtl/>
          <w:lang w:val="en-US" w:bidi="ar-DZ"/>
        </w:rPr>
        <w:t xml:space="preserve">: </w:t>
      </w:r>
    </w:p>
    <w:p w14:paraId="4DD42FE1">
      <w:pPr>
        <w:bidi/>
        <w:spacing w:line="240" w:lineRule="auto"/>
        <w:jc w:val="both"/>
        <w:rPr>
          <w:rFonts w:hint="cs" w:ascii="Sakkal Majalla" w:hAnsi="Sakkal Majalla" w:eastAsia="Calibri" w:cs="Simplified Arabic"/>
          <w:b/>
          <w:bCs/>
          <w:color w:val="FF0000"/>
          <w:rtl/>
          <w:lang w:val="en-US" w:bidi="ar-DZ"/>
        </w:rPr>
      </w:pPr>
      <w:r>
        <w:rPr>
          <w:rFonts w:hint="cs" w:ascii="Sakkal Majalla" w:hAnsi="Sakkal Majalla" w:eastAsia="Calibri" w:cs="Simplified Arabic"/>
          <w:b/>
          <w:bCs/>
          <w:color w:val="FF0000"/>
          <w:rtl/>
          <w:lang w:val="en-US" w:bidi="ar-DZ"/>
        </w:rPr>
        <w:t>الاهمية القانونية:</w:t>
      </w:r>
      <w:r>
        <w:rPr>
          <w:rFonts w:hint="cs" w:ascii="Sakkal Majalla" w:hAnsi="Sakkal Majalla" w:eastAsia="Calibri" w:cs="Simplified Arabic"/>
          <w:color w:val="FF0000"/>
          <w:rtl/>
          <w:lang w:val="en-US" w:bidi="ar-DZ"/>
        </w:rPr>
        <w:t xml:space="preserve"> تعتبر الاتفاقيات الجماعية للعمل مصدرا مهنيا ذاتيا للقانون، حيث تتيح للأطراف وضع قواعد خاصة تتكيف مع خصوصية كل مهنة، وتعتبر مكملة او موجهة للنصوص التشريعية.</w:t>
      </w:r>
    </w:p>
    <w:p w14:paraId="7E21B64D">
      <w:pPr>
        <w:bidi/>
        <w:spacing w:line="240" w:lineRule="auto"/>
        <w:jc w:val="both"/>
        <w:rPr>
          <w:rFonts w:hint="cs" w:ascii="Sakkal Majalla" w:hAnsi="Sakkal Majalla" w:eastAsia="Calibri" w:cs="Simplified Arabic"/>
          <w:b w:val="0"/>
          <w:bCs w:val="0"/>
          <w:color w:val="FF0000"/>
          <w:rtl/>
          <w:lang w:val="en-US" w:bidi="ar-DZ"/>
        </w:rPr>
      </w:pPr>
      <w:r>
        <w:rPr>
          <w:rFonts w:hint="cs" w:ascii="Sakkal Majalla" w:hAnsi="Sakkal Majalla" w:eastAsia="Calibri" w:cs="Simplified Arabic"/>
          <w:b/>
          <w:bCs/>
          <w:color w:val="FF0000"/>
          <w:rtl/>
          <w:lang w:val="en-US" w:bidi="ar-DZ"/>
        </w:rPr>
        <w:t xml:space="preserve">الأهمية الاقتصادية: </w:t>
      </w:r>
      <w:r>
        <w:rPr>
          <w:rFonts w:hint="cs" w:ascii="Sakkal Majalla" w:hAnsi="Sakkal Majalla" w:eastAsia="Calibri" w:cs="Simplified Arabic"/>
          <w:b w:val="0"/>
          <w:bCs w:val="0"/>
          <w:color w:val="FF0000"/>
          <w:rtl/>
          <w:lang w:val="en-US" w:bidi="ar-DZ"/>
        </w:rPr>
        <w:t>من خلال ضمان الاستقرار المهني والسلم الصناعي، فهي تقلل من النزاعات والاضرابات، مما يضمن استمرارية الانتاج، وتدفق السلع والخدمات دون انقطاع.</w:t>
      </w:r>
    </w:p>
    <w:p w14:paraId="5E360A5B">
      <w:pPr>
        <w:bidi/>
        <w:spacing w:line="240" w:lineRule="auto"/>
        <w:jc w:val="both"/>
        <w:rPr>
          <w:rFonts w:hint="default" w:ascii="Sakkal Majalla" w:hAnsi="Sakkal Majalla" w:eastAsia="Calibri" w:cs="Simplified Arabic"/>
          <w:color w:val="FF0000"/>
          <w:rtl/>
          <w:lang w:val="en-US" w:bidi="ar-DZ"/>
        </w:rPr>
      </w:pPr>
      <w:r>
        <w:rPr>
          <w:rFonts w:hint="cs" w:ascii="Sakkal Majalla" w:hAnsi="Sakkal Majalla" w:eastAsia="Calibri" w:cs="Simplified Arabic"/>
          <w:b/>
          <w:bCs/>
          <w:color w:val="FF0000"/>
          <w:rtl/>
          <w:lang w:val="en-US" w:bidi="ar-DZ"/>
        </w:rPr>
        <w:t xml:space="preserve">الاهمية الاجتماعية: </w:t>
      </w:r>
      <w:r>
        <w:rPr>
          <w:rFonts w:hint="cs" w:ascii="Sakkal Majalla" w:hAnsi="Sakkal Majalla" w:eastAsia="Calibri" w:cs="Simplified Arabic"/>
          <w:b w:val="0"/>
          <w:bCs w:val="0"/>
          <w:color w:val="FF0000"/>
          <w:rtl/>
          <w:lang w:val="en-US" w:bidi="ar-DZ"/>
        </w:rPr>
        <w:t>وتتمثل في تحقيق الأمن النفسي والاجتماعي من خلال تنظيم ساعات العمل، شروط السلامة الصحية، والحماية من التعسف في الفصل، مما يوفر بيئة عمل مستقرة تنعكس إيجابا على حياة العامل الأسرية.</w:t>
      </w:r>
      <w:bookmarkStart w:id="0" w:name="_GoBack"/>
      <w:bookmarkEnd w:id="0"/>
    </w:p>
    <w:p w14:paraId="0D74D945">
      <w:pPr>
        <w:bidi/>
        <w:spacing w:line="240" w:lineRule="auto"/>
        <w:jc w:val="center"/>
        <w:rPr>
          <w:rFonts w:ascii="Sakkal Majalla" w:hAnsi="Sakkal Majalla" w:eastAsia="Calibri" w:cs="Simplified Arabic"/>
          <w:b/>
          <w:bCs/>
          <w:rtl/>
        </w:rPr>
      </w:pPr>
      <w:r>
        <w:rPr>
          <w:rFonts w:ascii="Sakkal Majalla" w:hAnsi="Sakkal Majalla" w:eastAsia="Calibri" w:cs="Simplified Arabic"/>
          <w:b/>
          <w:bCs/>
          <w:rtl/>
        </w:rPr>
        <w:t xml:space="preserve">                                                           </w:t>
      </w:r>
      <w:r>
        <w:rPr>
          <w:rFonts w:ascii="Sakkal Majalla" w:hAnsi="Sakkal Majalla" w:eastAsia="Calibri" w:cs="Simplified Arabic"/>
          <w:b/>
          <w:bCs/>
        </w:rPr>
        <w:t xml:space="preserve">                                                                           </w:t>
      </w:r>
      <w:r>
        <w:rPr>
          <w:rFonts w:ascii="Sakkal Majalla" w:hAnsi="Sakkal Majalla" w:eastAsia="Calibri" w:cs="Simplified Arabic"/>
          <w:b/>
          <w:bCs/>
          <w:rtl/>
        </w:rPr>
        <w:t xml:space="preserve">           بالتوفيـــق</w:t>
      </w:r>
    </w:p>
    <w:p w14:paraId="0AEA2A0D"/>
    <w:sectPr>
      <w:pgSz w:w="11906" w:h="16838"/>
      <w:pgMar w:top="1134" w:right="1134" w:bottom="1134" w:left="1134"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Sakkal Majalla">
    <w:panose1 w:val="02000000000000000000"/>
    <w:charset w:val="00"/>
    <w:family w:val="auto"/>
    <w:pitch w:val="default"/>
    <w:sig w:usb0="A000207F" w:usb1="C000204B" w:usb2="00000008" w:usb3="00000000" w:csb0="200000D3" w:csb1="00000000"/>
  </w:font>
  <w:font w:name="Simplified Arabic">
    <w:panose1 w:val="02010000000000000000"/>
    <w:charset w:val="B2"/>
    <w:family w:val="auto"/>
    <w:pitch w:val="default"/>
    <w:sig w:usb0="00002000" w:usb1="00000000" w:usb2="00000000" w:usb3="00000000" w:csb0="0000004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3" w:lineRule="auto"/>
      </w:pPr>
      <w:r>
        <w:separator/>
      </w:r>
    </w:p>
  </w:footnote>
  <w:footnote w:type="continuationSeparator" w:id="1">
    <w:p>
      <w:pPr>
        <w:spacing w:before="0" w:after="0" w:line="273"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val="bestFit" w:percent="155"/>
  <w:documentProtection w:enforcement="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0E9"/>
    <w:rsid w:val="00015783"/>
    <w:rsid w:val="000B1EB5"/>
    <w:rsid w:val="00367A9D"/>
    <w:rsid w:val="003E38C3"/>
    <w:rsid w:val="0040463A"/>
    <w:rsid w:val="008A1DF1"/>
    <w:rsid w:val="008C3B26"/>
    <w:rsid w:val="009830E9"/>
    <w:rsid w:val="00AA2C0E"/>
    <w:rsid w:val="00DE2F5D"/>
    <w:rsid w:val="1D37160C"/>
    <w:rsid w:val="23564BC5"/>
    <w:rsid w:val="2E4B5000"/>
    <w:rsid w:val="5EC01983"/>
    <w:rsid w:val="62806234"/>
    <w:rsid w:val="65944AD1"/>
    <w:rsid w:val="6D5D59E4"/>
    <w:rsid w:val="74E070B0"/>
    <w:rsid w:val="7C23457B"/>
    <w:rsid w:val="7EE922A2"/>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Balloon Text"/>
  </w:latentStyles>
  <w:style w:type="paragraph" w:default="1" w:styleId="1">
    <w:name w:val="Normal"/>
    <w:qFormat/>
    <w:uiPriority w:val="0"/>
    <w:pPr>
      <w:spacing w:before="100" w:beforeAutospacing="1" w:after="100" w:afterAutospacing="1" w:line="273" w:lineRule="auto"/>
    </w:pPr>
    <w:rPr>
      <w:rFonts w:ascii="Calibri" w:hAnsi="Calibri" w:eastAsia="Times New Roman" w:cs="Times New Roman"/>
      <w:sz w:val="24"/>
      <w:szCs w:val="24"/>
      <w:lang w:val="fr-FR" w:eastAsia="fr-FR"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126</Words>
  <Characters>653</Characters>
  <Lines>12</Lines>
  <Paragraphs>3</Paragraphs>
  <TotalTime>118</TotalTime>
  <ScaleCrop>false</ScaleCrop>
  <LinksUpToDate>false</LinksUpToDate>
  <CharactersWithSpaces>1372</CharactersWithSpaces>
  <Application>WPS Office_12.1.0.26372_F1E327BC-269C-435d-A152-05C5408002CA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2026-01-12T22:28:00Z</dcterms:created>
  <dc:creator>ELECTRONOVA 40</dc:creator>
  <cp:lastModifiedBy>مي بوغقال</cp:lastModifiedBy>
  <dcterms:modified xsi:type="dcterms:W3CDTF">2026-05-19T23:10:33Z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eyJoZGlkIjoiZmFhYTk4OGM2M2ZiNjZiNmM2YTI3NTBiNmJhZDVkYWEiLCJ1c2VySWQiOiIzNzI4NTc5NDgyMTIyIn0=</vt:lpwstr>
  </property>
  <property fmtid="{D5CDD505-2E9C-101B-9397-08002B2CF9AE}" pid="3" name="KSOProductBuildVer">
    <vt:lpwstr>1036-12.1.0.26372</vt:lpwstr>
  </property>
  <property fmtid="{D5CDD505-2E9C-101B-9397-08002B2CF9AE}" pid="4" name="ICV">
    <vt:lpwstr>7098089C2A394919825E1694E1D52794_13</vt:lpwstr>
  </property>
</Properties>
</file>