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Cn" w:hAnsi="MyriadPro-SemiCn" w:cs="MyriadPro-SemiCn"/>
          <w:color w:val="000000"/>
          <w:sz w:val="17"/>
          <w:szCs w:val="17"/>
        </w:rPr>
      </w:pPr>
      <w:proofErr w:type="spellStart"/>
      <w:r>
        <w:rPr>
          <w:rFonts w:ascii="MyriadPro-SemiCn" w:hAnsi="MyriadPro-SemiCn" w:cs="MyriadPro-SemiCn"/>
          <w:color w:val="000000"/>
          <w:sz w:val="17"/>
          <w:szCs w:val="17"/>
        </w:rPr>
        <w:t>Environmental</w:t>
      </w:r>
      <w:proofErr w:type="spellEnd"/>
      <w:r>
        <w:rPr>
          <w:rFonts w:ascii="MyriadPro-SemiCn" w:hAnsi="MyriadPro-SemiCn" w:cs="MyriadPro-SemiCn"/>
          <w:color w:val="000000"/>
          <w:sz w:val="17"/>
          <w:szCs w:val="17"/>
        </w:rPr>
        <w:t xml:space="preserve"> Science and Pollution </w:t>
      </w:r>
      <w:proofErr w:type="spellStart"/>
      <w:r>
        <w:rPr>
          <w:rFonts w:ascii="MyriadPro-SemiCn" w:hAnsi="MyriadPro-SemiCn" w:cs="MyriadPro-SemiCn"/>
          <w:color w:val="000000"/>
          <w:sz w:val="17"/>
          <w:szCs w:val="17"/>
        </w:rPr>
        <w:t>Research</w:t>
      </w:r>
      <w:proofErr w:type="spellEnd"/>
    </w:p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Cn" w:hAnsi="MyriadPro-SemiCn" w:cs="MyriadPro-SemiCn"/>
          <w:color w:val="000000"/>
          <w:sz w:val="17"/>
          <w:szCs w:val="17"/>
        </w:rPr>
      </w:pPr>
      <w:r>
        <w:rPr>
          <w:rFonts w:ascii="MyriadPro-SemiCn" w:hAnsi="MyriadPro-SemiCn" w:cs="MyriadPro-SemiCn"/>
          <w:color w:val="000000"/>
          <w:sz w:val="17"/>
          <w:szCs w:val="17"/>
        </w:rPr>
        <w:t>https://doi.org/10.1007/s11356-023-28451-7</w:t>
      </w:r>
    </w:p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bold" w:hAnsi="MyriadPro-Semibold" w:cs="MyriadPro-Semibold"/>
          <w:color w:val="000000"/>
          <w:sz w:val="19"/>
          <w:szCs w:val="19"/>
        </w:rPr>
      </w:pPr>
      <w:r>
        <w:rPr>
          <w:rFonts w:ascii="MyriadPro-Semibold" w:hAnsi="MyriadPro-Semibold" w:cs="MyriadPro-Semibold"/>
          <w:color w:val="000000"/>
          <w:sz w:val="19"/>
          <w:szCs w:val="19"/>
        </w:rPr>
        <w:t>RESEARCH ARTICLE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</w:pPr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>Fabrication of ordered layered SnO</w:t>
      </w:r>
      <w:r w:rsidRPr="00BA553F">
        <w:rPr>
          <w:rFonts w:ascii="MyriadPro-SemiboldSemiCn" w:hAnsi="MyriadPro-SemiboldSemiCn" w:cs="MyriadPro-SemiboldSemiCn"/>
          <w:color w:val="000000"/>
          <w:lang w:val="en-US"/>
        </w:rPr>
        <w:t>2</w:t>
      </w:r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>/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</w:pPr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>TiO</w:t>
      </w:r>
      <w:r w:rsidRPr="00BA553F">
        <w:rPr>
          <w:rFonts w:ascii="MyriadPro-SemiboldSemiCn" w:hAnsi="MyriadPro-SemiboldSemiCn" w:cs="MyriadPro-SemiboldSemiCn"/>
          <w:color w:val="000000"/>
          <w:lang w:val="en-US"/>
        </w:rPr>
        <w:t xml:space="preserve">2 </w:t>
      </w:r>
      <w:proofErr w:type="spellStart"/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>heterostructures</w:t>
      </w:r>
      <w:proofErr w:type="spellEnd"/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 xml:space="preserve"> and their</w:t>
      </w:r>
    </w:p>
    <w:p w:rsid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</w:pPr>
      <w:proofErr w:type="gramStart"/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>photocatalytic</w:t>
      </w:r>
      <w:proofErr w:type="gramEnd"/>
      <w:r w:rsidRPr="00BA553F"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  <w:t xml:space="preserve"> performance for methyl blue degradation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SemiCn" w:hAnsi="MyriadPro-SemiboldSemiCn" w:cs="MyriadPro-SemiboldSemiCn"/>
          <w:color w:val="000000"/>
          <w:sz w:val="32"/>
          <w:szCs w:val="32"/>
          <w:lang w:val="en-US"/>
        </w:rPr>
      </w:pP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" w:hAnsi="MyriadPro-Semibold" w:cs="MyriadPro-Semibold"/>
          <w:color w:val="000000"/>
          <w:sz w:val="20"/>
          <w:szCs w:val="20"/>
          <w:lang w:val="en-US"/>
        </w:rPr>
      </w:pPr>
      <w:proofErr w:type="spellStart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Walid</w:t>
      </w:r>
      <w:proofErr w:type="spellEnd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 xml:space="preserve"> Serbout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1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 xml:space="preserve">· </w:t>
      </w:r>
      <w:proofErr w:type="spellStart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Fayçal</w:t>
      </w:r>
      <w:proofErr w:type="spellEnd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 xml:space="preserve"> Bensouici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2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· Omar Meglali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>1</w:t>
      </w:r>
      <w:proofErr w:type="gramStart"/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>,3</w:t>
      </w:r>
      <w:proofErr w:type="gramEnd"/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· Sabrina Iaiche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2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· Mohamed Bououdina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4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 xml:space="preserve">· </w:t>
      </w:r>
      <w:proofErr w:type="spellStart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Steffano</w:t>
      </w:r>
      <w:proofErr w:type="spellEnd"/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 xml:space="preserve"> Bellucci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 xml:space="preserve">5 </w:t>
      </w: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·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jc w:val="center"/>
        <w:rPr>
          <w:rFonts w:ascii="MyriadPro-Semibold" w:hAnsi="MyriadPro-Semibold" w:cs="MyriadPro-Semibold"/>
          <w:color w:val="000000"/>
          <w:sz w:val="14"/>
          <w:szCs w:val="14"/>
          <w:lang w:val="en-US"/>
        </w:rPr>
      </w:pPr>
      <w:r w:rsidRPr="00BA553F">
        <w:rPr>
          <w:rFonts w:ascii="MyriadPro-Semibold" w:hAnsi="MyriadPro-Semibold" w:cs="MyriadPro-Semibold"/>
          <w:color w:val="000000"/>
          <w:sz w:val="20"/>
          <w:szCs w:val="20"/>
          <w:lang w:val="en-US"/>
        </w:rPr>
        <w:t>Muhammad Humayun</w:t>
      </w:r>
      <w:r w:rsidRPr="00BA553F">
        <w:rPr>
          <w:rFonts w:ascii="MyriadPro-Semibold" w:hAnsi="MyriadPro-Semibold" w:cs="MyriadPro-Semibold"/>
          <w:color w:val="000000"/>
          <w:sz w:val="14"/>
          <w:szCs w:val="14"/>
          <w:lang w:val="en-US"/>
        </w:rPr>
        <w:t>4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Cn" w:hAnsi="MyriadPro-SemiCn" w:cs="MyriadPro-SemiCn"/>
          <w:color w:val="000000"/>
          <w:sz w:val="17"/>
          <w:szCs w:val="17"/>
          <w:lang w:val="en-US"/>
        </w:rPr>
      </w:pPr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>Received: 7 April 2023 / Accepted: 22 June 2023</w:t>
      </w:r>
    </w:p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Cn" w:hAnsi="MyriadPro-SemiCn" w:cs="MyriadPro-SemiCn"/>
          <w:color w:val="000000"/>
          <w:sz w:val="17"/>
          <w:szCs w:val="17"/>
          <w:lang w:val="en-US"/>
        </w:rPr>
      </w:pPr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 xml:space="preserve">© The Author(s), under exclusive </w:t>
      </w:r>
      <w:proofErr w:type="spellStart"/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>licence</w:t>
      </w:r>
      <w:proofErr w:type="spellEnd"/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 xml:space="preserve"> to Springer-</w:t>
      </w:r>
      <w:proofErr w:type="spellStart"/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>Verlag</w:t>
      </w:r>
      <w:proofErr w:type="spellEnd"/>
      <w:r w:rsidRPr="00BA553F">
        <w:rPr>
          <w:rFonts w:ascii="MyriadPro-SemiCn" w:hAnsi="MyriadPro-SemiCn" w:cs="MyriadPro-SemiCn"/>
          <w:color w:val="000000"/>
          <w:sz w:val="17"/>
          <w:szCs w:val="17"/>
          <w:lang w:val="en-US"/>
        </w:rPr>
        <w:t xml:space="preserve"> GmbH Germany, part of Springer Nature 2023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SemiCn" w:hAnsi="MyriadPro-SemiCn" w:cs="MyriadPro-SemiCn"/>
          <w:color w:val="000000"/>
          <w:sz w:val="17"/>
          <w:szCs w:val="17"/>
          <w:lang w:val="en-US"/>
        </w:rPr>
      </w:pP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20"/>
          <w:szCs w:val="20"/>
          <w:lang w:val="en-US"/>
        </w:rPr>
      </w:pPr>
      <w:r w:rsidRPr="00BA553F">
        <w:rPr>
          <w:rFonts w:ascii="MyriadPro-Bold" w:hAnsi="MyriadPro-Bold" w:cs="MyriadPro-Bold"/>
          <w:b/>
          <w:bCs/>
          <w:color w:val="000000"/>
          <w:sz w:val="20"/>
          <w:szCs w:val="20"/>
          <w:lang w:val="en-US"/>
        </w:rPr>
        <w:t>Abstract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The rapid growth in population and industrialization has </w:t>
      </w:r>
      <w:bookmarkStart w:id="0" w:name="_GoBack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given rise to serious environmental issues, especially the water pollution.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Photocatalysis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with the assist of semiconductor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photocatalysts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has been considered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as an advanced oxidation technique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for degrading a variety of pollutants under solar irradiation. In this work, we have fabricated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-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2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heterostructures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with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different ordered layers of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and 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via the sol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>–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gel dip-coating technique and utilized in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photocatalysis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for degradation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of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methyl blue dye under UV irradiation. The influence of the layer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>’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s position on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and 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properties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is investigated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via the various techniques. The grazing incidence X-ray diffraction (GIXRD) analysis reveals that the as-prepared films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exhibit pure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anatase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and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kesterite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phases. The 2SnO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/2TiO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2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heterostructure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exhibit the maximum crystallite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sizeand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smallest deviation from the ideal structure. Scanning electron microscopy cross-section images manifest good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adhesionof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the layers to each other and to the substrate. Fourier transform infrared spectroscopy reveals the characteristic vibration</w:t>
      </w:r>
    </w:p>
    <w:p w:rsid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modes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of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and 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phases. UV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>–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visible spectroscopy measurements indicate that all films exhibit high transparency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(T = 80%) and the 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film reveals a direct band gap of 3.6 eV, while the 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film exhibits an indirect band gap of 2.9 eV.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The optimal 2SnO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2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/2TiO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2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heterostructure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film revealed best photocatalytic degradation performance and the reaction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rateconstant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for methylene blue solution under UV irradiation. This work will trigger the development of highly efficient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heterostructure</w:t>
      </w:r>
      <w:proofErr w:type="spellEnd"/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photocatalysts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for environmental remediation.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</w:p>
    <w:p w:rsid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r w:rsidRPr="00BA553F">
        <w:rPr>
          <w:rFonts w:ascii="MyriadPro-SemiboldSemiCn" w:hAnsi="MyriadPro-SemiboldSemiCn" w:cs="MyriadPro-SemiboldSemiCn"/>
          <w:color w:val="000000"/>
          <w:sz w:val="20"/>
          <w:szCs w:val="20"/>
          <w:lang w:val="en-US"/>
        </w:rPr>
        <w:t xml:space="preserve">Keywords 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Dip-coating </w:t>
      </w:r>
      <w:r>
        <w:rPr>
          <w:rFonts w:ascii="STIX-Regular" w:eastAsia="STIX-Regular" w:hAnsi="MyriadPro-SemiCn" w:cs="STIX-Regular" w:hint="eastAsia"/>
          <w:color w:val="000000"/>
          <w:sz w:val="20"/>
          <w:szCs w:val="20"/>
        </w:rPr>
        <w:t>・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>Heterostructure</w:t>
      </w:r>
      <w:proofErr w:type="spellEnd"/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</w:t>
      </w:r>
      <w:r>
        <w:rPr>
          <w:rFonts w:ascii="STIX-Regular" w:eastAsia="STIX-Regular" w:hAnsi="MyriadPro-SemiCn" w:cs="STIX-Regular" w:hint="eastAsia"/>
          <w:color w:val="000000"/>
          <w:sz w:val="20"/>
          <w:szCs w:val="20"/>
        </w:rPr>
        <w:t>・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Ordered layers </w:t>
      </w:r>
      <w:r>
        <w:rPr>
          <w:rFonts w:ascii="STIX-Regular" w:eastAsia="STIX-Regular" w:hAnsi="MyriadPro-SemiCn" w:cs="STIX-Regular" w:hint="eastAsia"/>
          <w:color w:val="000000"/>
          <w:sz w:val="20"/>
          <w:szCs w:val="20"/>
        </w:rPr>
        <w:t>・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>Photocatalysis</w:t>
      </w:r>
      <w:proofErr w:type="spellEnd"/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</w:t>
      </w:r>
      <w:r>
        <w:rPr>
          <w:rFonts w:ascii="STIX-Regular" w:eastAsia="STIX-Regular" w:hAnsi="MyriadPro-SemiCn" w:cs="STIX-Regular" w:hint="eastAsia"/>
          <w:color w:val="000000"/>
          <w:sz w:val="20"/>
          <w:szCs w:val="20"/>
        </w:rPr>
        <w:t>・</w:t>
      </w:r>
      <w:r w:rsidRPr="00BA553F">
        <w:rPr>
          <w:rFonts w:ascii="STIX-Regular" w:eastAsia="STIX-Regular" w:hAnsi="MyriadPro-SemiCn" w:cs="STIX-Regular" w:hint="eastAsia"/>
          <w:color w:val="000000"/>
          <w:sz w:val="20"/>
          <w:szCs w:val="20"/>
          <w:lang w:val="en-US"/>
        </w:rPr>
        <w:t xml:space="preserve"> Methyl blue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MyriadPro-Bold" w:hAnsi="MyriadPro-Bold" w:cs="MyriadPro-Bold"/>
          <w:b/>
          <w:bCs/>
          <w:color w:val="000000"/>
          <w:sz w:val="24"/>
          <w:szCs w:val="24"/>
          <w:lang w:val="en-US"/>
        </w:rPr>
      </w:pPr>
      <w:r w:rsidRPr="00BA553F">
        <w:rPr>
          <w:rFonts w:ascii="MyriadPro-Bold" w:hAnsi="MyriadPro-Bold" w:cs="MyriadPro-Bold"/>
          <w:b/>
          <w:bCs/>
          <w:color w:val="000000"/>
          <w:sz w:val="24"/>
          <w:szCs w:val="24"/>
          <w:lang w:val="en-US"/>
        </w:rPr>
        <w:t>Introduction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Global dye production exceeds 7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×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10</w:t>
      </w:r>
      <w:r w:rsidRPr="00BA553F"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>5</w:t>
      </w:r>
      <w:r>
        <w:rPr>
          <w:rFonts w:ascii="STIX-Regular" w:eastAsia="STIX-Regular" w:hAnsi="MyriadPro-SemiCn" w:cs="STIX-Regular"/>
          <w:color w:val="000000"/>
          <w:sz w:val="14"/>
          <w:szCs w:val="14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t, which </w:t>
      </w: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is used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not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only in the textile sector but also in the food, paper, and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pharmaceutical industries (Srivastava et al. </w:t>
      </w:r>
      <w:r w:rsidRPr="00BA553F">
        <w:rPr>
          <w:rFonts w:ascii="STIX-Regular" w:eastAsia="STIX-Regular" w:hAnsi="MyriadPro-SemiCn" w:cs="STIX-Regular"/>
          <w:color w:val="0000FF"/>
          <w:sz w:val="20"/>
          <w:szCs w:val="20"/>
          <w:lang w:val="en-US"/>
        </w:rPr>
        <w:t>2017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). It </w:t>
      </w: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is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estimated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that about 15% of these dyes are lost during the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synthesis, dye processing, dyeing, printing, and finishing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processes (Aye et al. </w:t>
      </w:r>
      <w:r w:rsidRPr="00BA553F">
        <w:rPr>
          <w:rFonts w:ascii="STIX-Regular" w:eastAsia="STIX-Regular" w:hAnsi="MyriadPro-SemiCn" w:cs="STIX-Regular"/>
          <w:color w:val="0000FF"/>
          <w:sz w:val="20"/>
          <w:szCs w:val="20"/>
          <w:lang w:val="en-US"/>
        </w:rPr>
        <w:t>2003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). Being common industrial pollutants,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the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decolorization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and mineralization of the dyes</w:t>
      </w:r>
    </w:p>
    <w:p w:rsidR="00BA553F" w:rsidRP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via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different techniques become necessary. The decomposition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of dye molecules may result in the formation of dye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fragments, that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might be more toxic and environmentally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persistent compared to the actual dyes such as aromatic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amines. It was reported that conventional physical, chemical,</w:t>
      </w:r>
    </w:p>
    <w:p w:rsid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and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biological treatment methods for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decolorization</w:t>
      </w:r>
      <w:proofErr w:type="spellEnd"/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and decomposition are ineffective, because of their low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degradation efficiency, chemical consumption, and high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operation costs (Abdel-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Messih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et al. </w:t>
      </w:r>
      <w:r w:rsidRPr="00BA553F">
        <w:rPr>
          <w:rFonts w:ascii="STIX-Regular" w:eastAsia="STIX-Regular" w:hAnsi="MyriadPro-SemiCn" w:cs="STIX-Regular"/>
          <w:color w:val="0000FF"/>
          <w:sz w:val="20"/>
          <w:szCs w:val="20"/>
          <w:lang w:val="en-US"/>
        </w:rPr>
        <w:t>2013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;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Mehrdad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and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Hashemzadeh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FF"/>
          <w:sz w:val="20"/>
          <w:szCs w:val="20"/>
          <w:lang w:val="en-US"/>
        </w:rPr>
        <w:t>2010</w:t>
      </w:r>
      <w:r w:rsidRPr="00BA553F"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>). To minimize these limitations,</w:t>
      </w:r>
      <w:r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  <w:t xml:space="preserve"> </w:t>
      </w:r>
    </w:p>
    <w:p w:rsidR="00BA553F" w:rsidRDefault="00BA553F" w:rsidP="00F81E82">
      <w:pPr>
        <w:autoSpaceDE w:val="0"/>
        <w:autoSpaceDN w:val="0"/>
        <w:adjustRightInd w:val="0"/>
        <w:spacing w:after="0" w:line="240" w:lineRule="auto"/>
        <w:jc w:val="both"/>
        <w:rPr>
          <w:rFonts w:ascii="STIX-Regular" w:eastAsia="STIX-Regular" w:hAnsi="MyriadPro-SemiCn" w:cs="STIX-Regular"/>
          <w:color w:val="000000"/>
          <w:sz w:val="20"/>
          <w:szCs w:val="20"/>
          <w:lang w:val="en-US"/>
        </w:rPr>
      </w:pPr>
    </w:p>
    <w:bookmarkEnd w:id="0"/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Responsible Editor: George Z.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Kyzas</w:t>
      </w:r>
      <w:proofErr w:type="spellEnd"/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Wingdings-Regular" w:hAnsi="Wingdings-Regular" w:cs="Wingdings-Regular"/>
          <w:color w:val="000000"/>
          <w:sz w:val="17"/>
          <w:szCs w:val="17"/>
          <w:lang w:val="en-US"/>
        </w:rPr>
        <w:t xml:space="preserve">* 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Muhammad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Humayun</w:t>
      </w:r>
      <w:proofErr w:type="spellEnd"/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mhumayun@psu.edu.sa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>1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Materials Science and Informatics Laboratory,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Ziane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Achour</w:t>
      </w:r>
      <w:proofErr w:type="spellEnd"/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University, 17000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Djelfa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, Algeria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 xml:space="preserve">2 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Laboratory of Structures, Properties and Intermolecular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Interactions LASPI2A, Department of Matter, Abbes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Laghrour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 University, 40.000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Khenchela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, Algeria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>3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Faculty of Sciences, Mohammed </w:t>
      </w: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Boudiaf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 University,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spell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M</w:t>
      </w:r>
      <w:r w:rsidRPr="00BA553F">
        <w:rPr>
          <w:rFonts w:ascii="STIX-Regular" w:eastAsia="STIX-Regular" w:hAnsi="MyriadPro-SemiCn" w:cs="STIX-Regular" w:hint="eastAsia"/>
          <w:color w:val="000000"/>
          <w:sz w:val="17"/>
          <w:szCs w:val="17"/>
          <w:lang w:val="en-US"/>
        </w:rPr>
        <w:t>’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Sila</w:t>
      </w:r>
      <w:proofErr w:type="spell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 28000, Algeria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>4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12"/>
          <w:szCs w:val="12"/>
          <w:lang w:val="en-US"/>
        </w:rPr>
        <w:t xml:space="preserve"> </w:t>
      </w: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Energy, Water, and Environment Lab, College of Humanities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proofErr w:type="gramStart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and</w:t>
      </w:r>
      <w:proofErr w:type="gramEnd"/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 xml:space="preserve"> Sciences, Prince Sultan University, Riyadh 11586,</w:t>
      </w:r>
    </w:p>
    <w:p w:rsidR="00BA553F" w:rsidRP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</w:pPr>
      <w:r w:rsidRPr="00BA553F">
        <w:rPr>
          <w:rFonts w:ascii="STIX-Regular" w:eastAsia="STIX-Regular" w:hAnsi="MyriadPro-SemiCn" w:cs="STIX-Regular"/>
          <w:color w:val="000000"/>
          <w:sz w:val="17"/>
          <w:szCs w:val="17"/>
          <w:lang w:val="en-US"/>
        </w:rPr>
        <w:t>Saudi Arabia</w:t>
      </w:r>
    </w:p>
    <w:p w:rsidR="00BA553F" w:rsidRDefault="00BA553F" w:rsidP="00BA553F">
      <w:pPr>
        <w:autoSpaceDE w:val="0"/>
        <w:autoSpaceDN w:val="0"/>
        <w:adjustRightInd w:val="0"/>
        <w:spacing w:after="0" w:line="240" w:lineRule="auto"/>
        <w:rPr>
          <w:rFonts w:ascii="STIX-Regular" w:eastAsia="STIX-Regular" w:hAnsi="MyriadPro-SemiCn" w:cs="STIX-Regular"/>
          <w:color w:val="000000"/>
          <w:sz w:val="17"/>
          <w:szCs w:val="17"/>
        </w:rPr>
      </w:pPr>
      <w:r>
        <w:rPr>
          <w:rFonts w:ascii="STIX-Regular" w:eastAsia="STIX-Regular" w:hAnsi="MyriadPro-SemiCn" w:cs="STIX-Regular"/>
          <w:color w:val="000000"/>
          <w:sz w:val="12"/>
          <w:szCs w:val="12"/>
        </w:rPr>
        <w:t xml:space="preserve">5 </w:t>
      </w:r>
      <w:r>
        <w:rPr>
          <w:rFonts w:ascii="STIX-Regular" w:eastAsia="STIX-Regular" w:hAnsi="MyriadPro-SemiCn" w:cs="STIX-Regular"/>
          <w:color w:val="000000"/>
          <w:sz w:val="17"/>
          <w:szCs w:val="17"/>
        </w:rPr>
        <w:t>INFN-</w:t>
      </w:r>
      <w:proofErr w:type="spellStart"/>
      <w:r>
        <w:rPr>
          <w:rFonts w:ascii="STIX-Regular" w:eastAsia="STIX-Regular" w:hAnsi="MyriadPro-SemiCn" w:cs="STIX-Regular"/>
          <w:color w:val="000000"/>
          <w:sz w:val="17"/>
          <w:szCs w:val="17"/>
        </w:rPr>
        <w:t>Laboratori</w:t>
      </w:r>
      <w:proofErr w:type="spellEnd"/>
      <w:r>
        <w:rPr>
          <w:rFonts w:ascii="STIX-Regular" w:eastAsia="STIX-Regular" w:hAnsi="MyriadPro-SemiCn" w:cs="STIX-Regular"/>
          <w:color w:val="000000"/>
          <w:sz w:val="17"/>
          <w:szCs w:val="17"/>
        </w:rPr>
        <w:t xml:space="preserve"> </w:t>
      </w:r>
      <w:proofErr w:type="spellStart"/>
      <w:r>
        <w:rPr>
          <w:rFonts w:ascii="STIX-Regular" w:eastAsia="STIX-Regular" w:hAnsi="MyriadPro-SemiCn" w:cs="STIX-Regular"/>
          <w:color w:val="000000"/>
          <w:sz w:val="17"/>
          <w:szCs w:val="17"/>
        </w:rPr>
        <w:t>Nazionali</w:t>
      </w:r>
      <w:proofErr w:type="spellEnd"/>
      <w:r>
        <w:rPr>
          <w:rFonts w:ascii="STIX-Regular" w:eastAsia="STIX-Regular" w:hAnsi="MyriadPro-SemiCn" w:cs="STIX-Regular"/>
          <w:color w:val="000000"/>
          <w:sz w:val="17"/>
          <w:szCs w:val="17"/>
        </w:rPr>
        <w:t xml:space="preserve"> Di Frascati, Vie. E. Fermi 54,</w:t>
      </w:r>
    </w:p>
    <w:p w:rsidR="00C735A0" w:rsidRDefault="00BA553F" w:rsidP="00BA553F">
      <w:r>
        <w:rPr>
          <w:rFonts w:ascii="STIX-Regular" w:eastAsia="STIX-Regular" w:hAnsi="MyriadPro-SemiCn" w:cs="STIX-Regular"/>
          <w:color w:val="000000"/>
          <w:sz w:val="17"/>
          <w:szCs w:val="17"/>
        </w:rPr>
        <w:t xml:space="preserve">00044 Frascati, </w:t>
      </w:r>
      <w:proofErr w:type="spellStart"/>
      <w:r>
        <w:rPr>
          <w:rFonts w:ascii="STIX-Regular" w:eastAsia="STIX-Regular" w:hAnsi="MyriadPro-SemiCn" w:cs="STIX-Regular"/>
          <w:color w:val="000000"/>
          <w:sz w:val="17"/>
          <w:szCs w:val="17"/>
        </w:rPr>
        <w:t>Italy</w:t>
      </w:r>
      <w:proofErr w:type="spellEnd"/>
    </w:p>
    <w:sectPr w:rsidR="00C735A0" w:rsidSect="00BA553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yriadPro-SemiC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Pro-Semi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Pro-SemiboldSemiC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Pro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TIX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Wingdings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53F"/>
    <w:rsid w:val="00BA553F"/>
    <w:rsid w:val="00C735A0"/>
    <w:rsid w:val="00F81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BDC591E-64B9-4EEF-8386-29843FE93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594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WWW</dc:creator>
  <cp:keywords/>
  <dc:description/>
  <cp:lastModifiedBy>WWW</cp:lastModifiedBy>
  <cp:revision>2</cp:revision>
  <cp:lastPrinted>2024-02-15T20:27:00Z</cp:lastPrinted>
  <dcterms:created xsi:type="dcterms:W3CDTF">2024-02-15T20:20:00Z</dcterms:created>
  <dcterms:modified xsi:type="dcterms:W3CDTF">2024-02-15T20:28:00Z</dcterms:modified>
</cp:coreProperties>
</file>